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8047B">
      <w:pPr>
        <w:spacing w:beforeLines="0" w:afterLines="0" w:line="560" w:lineRule="exact"/>
        <w:jc w:val="left"/>
        <w:rPr>
          <w:rFonts w:hint="default" w:asciiTheme="majorEastAsia" w:hAnsiTheme="majorEastAsia" w:eastAsiaTheme="majorEastAsia"/>
          <w:b/>
          <w:snapToGrid w:val="0"/>
          <w:color w:val="000000"/>
          <w:kern w:val="0"/>
          <w:sz w:val="32"/>
          <w:szCs w:val="32"/>
          <w:lang w:val="en-US" w:eastAsia="zh-CN"/>
        </w:rPr>
      </w:pPr>
      <w:bookmarkStart w:id="0" w:name="_GoBack"/>
      <w:r>
        <w:rPr>
          <w:rFonts w:hint="eastAsia" w:asciiTheme="majorEastAsia" w:hAnsiTheme="majorEastAsia" w:eastAsiaTheme="majorEastAsia"/>
          <w:b/>
          <w:snapToGrid w:val="0"/>
          <w:color w:val="000000"/>
          <w:kern w:val="0"/>
          <w:sz w:val="32"/>
          <w:szCs w:val="32"/>
          <w:lang w:eastAsia="zh-CN"/>
        </w:rPr>
        <w:t>附件</w:t>
      </w:r>
      <w:r>
        <w:rPr>
          <w:rFonts w:hint="eastAsia" w:asciiTheme="majorEastAsia" w:hAnsiTheme="majorEastAsia" w:eastAsiaTheme="majorEastAsia"/>
          <w:b/>
          <w:snapToGrid w:val="0"/>
          <w:color w:val="000000"/>
          <w:kern w:val="0"/>
          <w:sz w:val="32"/>
          <w:szCs w:val="32"/>
          <w:lang w:val="en-US" w:eastAsia="zh-CN"/>
        </w:rPr>
        <w:t>1：</w:t>
      </w:r>
    </w:p>
    <w:p w14:paraId="6352D48F">
      <w:pPr>
        <w:spacing w:beforeLines="0" w:afterLines="0" w:line="560" w:lineRule="exact"/>
        <w:jc w:val="center"/>
        <w:rPr>
          <w:rFonts w:asciiTheme="majorEastAsia" w:hAnsiTheme="majorEastAsia" w:eastAsiaTheme="majorEastAsia"/>
          <w:b/>
          <w:snapToGrid w:val="0"/>
          <w:color w:val="000000"/>
          <w:kern w:val="0"/>
          <w:sz w:val="44"/>
          <w:szCs w:val="44"/>
        </w:rPr>
      </w:pPr>
      <w:r>
        <w:rPr>
          <w:rFonts w:hint="eastAsia" w:asciiTheme="majorEastAsia" w:hAnsiTheme="majorEastAsia" w:eastAsiaTheme="majorEastAsia"/>
          <w:b/>
          <w:snapToGrid w:val="0"/>
          <w:color w:val="000000"/>
          <w:kern w:val="0"/>
          <w:sz w:val="44"/>
          <w:szCs w:val="44"/>
        </w:rPr>
        <w:t>南昌大学经济管理学院统计学</w:t>
      </w:r>
      <w:r>
        <w:rPr>
          <w:rFonts w:hint="eastAsia" w:asciiTheme="majorEastAsia" w:hAnsiTheme="majorEastAsia" w:eastAsiaTheme="majorEastAsia"/>
          <w:b/>
          <w:snapToGrid w:val="0"/>
          <w:color w:val="000000"/>
          <w:kern w:val="0"/>
          <w:sz w:val="44"/>
          <w:szCs w:val="44"/>
          <w:lang w:val="en-US" w:eastAsia="zh-CN"/>
        </w:rPr>
        <w:t>博士</w:t>
      </w:r>
      <w:r>
        <w:rPr>
          <w:rFonts w:hint="eastAsia" w:asciiTheme="majorEastAsia" w:hAnsiTheme="majorEastAsia" w:eastAsiaTheme="majorEastAsia"/>
          <w:b/>
          <w:snapToGrid w:val="0"/>
          <w:color w:val="000000"/>
          <w:kern w:val="0"/>
          <w:sz w:val="44"/>
          <w:szCs w:val="44"/>
        </w:rPr>
        <w:t>学位授权点202</w:t>
      </w:r>
      <w:r>
        <w:rPr>
          <w:rFonts w:hint="eastAsia" w:asciiTheme="majorEastAsia" w:hAnsiTheme="majorEastAsia" w:eastAsiaTheme="majorEastAsia"/>
          <w:b/>
          <w:snapToGrid w:val="0"/>
          <w:color w:val="000000"/>
          <w:kern w:val="0"/>
          <w:sz w:val="44"/>
          <w:szCs w:val="44"/>
          <w:lang w:val="en-US" w:eastAsia="zh-CN"/>
        </w:rPr>
        <w:t>5</w:t>
      </w:r>
      <w:r>
        <w:rPr>
          <w:rFonts w:hint="eastAsia" w:asciiTheme="majorEastAsia" w:hAnsiTheme="majorEastAsia" w:eastAsiaTheme="majorEastAsia"/>
          <w:b/>
          <w:snapToGrid w:val="0"/>
          <w:color w:val="000000"/>
          <w:kern w:val="0"/>
          <w:sz w:val="44"/>
          <w:szCs w:val="44"/>
        </w:rPr>
        <w:t>年招收“申请-考核”制博士研究生实施细则</w:t>
      </w:r>
    </w:p>
    <w:bookmarkEnd w:id="0"/>
    <w:p w14:paraId="478BFE07">
      <w:pPr>
        <w:spacing w:beforeLines="0" w:afterLines="0" w:line="560" w:lineRule="exact"/>
        <w:jc w:val="center"/>
        <w:rPr>
          <w:sz w:val="52"/>
          <w:szCs w:val="52"/>
        </w:rPr>
      </w:pPr>
    </w:p>
    <w:p w14:paraId="6E0D14E9">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方正仿宋_GB2312" w:hAnsi="方正仿宋_GB2312" w:eastAsia="方正仿宋_GB2312" w:cs="方正仿宋_GB2312"/>
          <w:kern w:val="0"/>
          <w:sz w:val="32"/>
          <w:szCs w:val="32"/>
          <w:shd w:val="clear" w:color="auto" w:fill="FFFFFF"/>
          <w:lang w:bidi="ar"/>
        </w:rPr>
        <w:t>《南昌大学招收攻读博士学位研究生的实施办法（2023年修订）》和《南昌大学博士研究生招生“申请－考核”制实施办法（2023年修订）》</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结合我院</w:t>
      </w:r>
      <w:r>
        <w:rPr>
          <w:rFonts w:hint="eastAsia" w:ascii="仿宋_GB2312" w:hAnsi="仿宋_GB2312" w:eastAsia="仿宋_GB2312" w:cs="仿宋_GB2312"/>
          <w:sz w:val="32"/>
          <w:szCs w:val="32"/>
          <w:lang w:val="en-US" w:eastAsia="zh-CN"/>
        </w:rPr>
        <w:t>及学位点</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制定本细则。</w:t>
      </w:r>
    </w:p>
    <w:p w14:paraId="4B950BAD">
      <w:pPr>
        <w:spacing w:beforeLines="0" w:afterLines="0"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一、工作原则</w:t>
      </w:r>
    </w:p>
    <w:p w14:paraId="7BAB2509">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坚持公平、公正、科学、有效的原则，学院将充分发挥专家组和导师在招生过程中的作用，采取多样化的考查方式全面考查。突出对考生科研创新能力和专业学术潜质的考察，选拔综合素质优秀、创新能力突出的博士研究生。</w:t>
      </w:r>
    </w:p>
    <w:p w14:paraId="731D5C18">
      <w:pPr>
        <w:spacing w:beforeLines="0" w:afterLines="0"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二、组织机构</w:t>
      </w:r>
    </w:p>
    <w:p w14:paraId="2EE70615">
      <w:pPr>
        <w:pStyle w:val="2"/>
        <w:keepNext w:val="0"/>
        <w:keepLines w:val="0"/>
        <w:widowControl w:val="0"/>
        <w:shd w:val="clear" w:color="auto" w:fill="FFFFFF"/>
        <w:spacing w:before="0" w:beforeLines="0" w:after="0" w:afterLines="0" w:line="560" w:lineRule="exact"/>
        <w:ind w:firstLine="643" w:firstLineChars="200"/>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(一）招生工作领导小组</w:t>
      </w:r>
    </w:p>
    <w:p w14:paraId="6DDD8258">
      <w:pPr>
        <w:pStyle w:val="2"/>
        <w:keepNext w:val="0"/>
        <w:keepLines w:val="0"/>
        <w:widowControl w:val="0"/>
        <w:shd w:val="clear" w:color="auto" w:fill="FFFFFF"/>
        <w:spacing w:before="0" w:beforeLines="0" w:after="0" w:afterLines="0" w:line="560" w:lineRule="exact"/>
        <w:ind w:firstLine="640" w:firstLineChars="200"/>
        <w:rPr>
          <w:rFonts w:ascii="仿宋GB2312" w:hAnsi="仿宋" w:eastAsia="仿宋GB2312"/>
          <w:b w:val="0"/>
          <w:bCs w:val="0"/>
          <w:kern w:val="2"/>
          <w:sz w:val="32"/>
          <w:szCs w:val="32"/>
          <w:lang w:val="zh-CN"/>
        </w:rPr>
      </w:pPr>
      <w:r>
        <w:rPr>
          <w:rFonts w:hint="eastAsia" w:ascii="仿宋" w:hAnsi="仿宋" w:eastAsia="仿宋" w:cs="仿宋"/>
          <w:b w:val="0"/>
          <w:bCs w:val="0"/>
          <w:kern w:val="2"/>
          <w:sz w:val="32"/>
          <w:szCs w:val="32"/>
          <w:lang w:val="zh-CN"/>
        </w:rPr>
        <w:t>选拔工作在招生工作领导小组统一领导下进行，由学院研究生办公室负责组织实施。选拔工作领导小组根据学校要求，负责制定学院选拔“申请-考核”制博士研究生实施细则，包括制定申请条件、申请材料审核办法、申请程序等。</w:t>
      </w:r>
    </w:p>
    <w:p w14:paraId="534E08B1">
      <w:pPr>
        <w:pStyle w:val="2"/>
        <w:keepNext w:val="0"/>
        <w:keepLines w:val="0"/>
        <w:widowControl w:val="0"/>
        <w:shd w:val="clear" w:color="auto" w:fill="FFFFFF"/>
        <w:spacing w:before="0" w:beforeLines="0" w:after="0" w:afterLines="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（二）监督小组</w:t>
      </w:r>
    </w:p>
    <w:p w14:paraId="28E65223">
      <w:pPr>
        <w:pStyle w:val="2"/>
        <w:keepNext w:val="0"/>
        <w:keepLines w:val="0"/>
        <w:widowControl w:val="0"/>
        <w:shd w:val="clear" w:color="auto" w:fill="FFFFFF"/>
        <w:spacing w:before="0" w:beforeLines="0" w:after="0" w:afterLines="0" w:line="560" w:lineRule="exact"/>
        <w:rPr>
          <w:rFonts w:hint="eastAsia" w:ascii="仿宋" w:hAnsi="仿宋" w:eastAsia="仿宋" w:cs="仿宋"/>
          <w:b w:val="0"/>
          <w:bCs w:val="0"/>
          <w:kern w:val="2"/>
          <w:sz w:val="32"/>
          <w:szCs w:val="32"/>
          <w:lang w:val="zh-CN"/>
        </w:rPr>
      </w:pPr>
      <w:r>
        <w:rPr>
          <w:rFonts w:hint="eastAsia" w:ascii="仿宋GB2312" w:hAnsi="仿宋" w:eastAsia="仿宋GB2312"/>
          <w:b w:val="0"/>
          <w:bCs w:val="0"/>
          <w:kern w:val="2"/>
          <w:sz w:val="32"/>
          <w:szCs w:val="32"/>
          <w:lang w:val="zh-CN"/>
        </w:rPr>
        <w:t xml:space="preserve">   </w:t>
      </w:r>
      <w:r>
        <w:rPr>
          <w:rFonts w:hint="eastAsia" w:ascii="仿宋" w:hAnsi="仿宋" w:eastAsia="仿宋" w:cs="仿宋"/>
          <w:b w:val="0"/>
          <w:bCs w:val="0"/>
          <w:kern w:val="2"/>
          <w:sz w:val="32"/>
          <w:szCs w:val="32"/>
          <w:lang w:val="zh-CN"/>
        </w:rPr>
        <w:t xml:space="preserve"> 负责招生过程各环节的监督检查，受理考生的举报事宜。</w:t>
      </w:r>
    </w:p>
    <w:p w14:paraId="3A98F984">
      <w:pPr>
        <w:pStyle w:val="2"/>
        <w:keepNext w:val="0"/>
        <w:keepLines w:val="0"/>
        <w:widowControl w:val="0"/>
        <w:shd w:val="clear" w:color="auto" w:fill="FFFFFF"/>
        <w:spacing w:before="0" w:beforeLines="0" w:after="0" w:afterLines="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（三）申请材料评议小组</w:t>
      </w:r>
    </w:p>
    <w:p w14:paraId="3063A33A">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申请材料评议小组由3名以上博士生导师组成，负责对考生提交的申请材料进行评议。</w:t>
      </w:r>
    </w:p>
    <w:p w14:paraId="7A0E1ED3">
      <w:pPr>
        <w:pStyle w:val="2"/>
        <w:keepNext w:val="0"/>
        <w:keepLines w:val="0"/>
        <w:widowControl w:val="0"/>
        <w:shd w:val="clear" w:color="auto" w:fill="FFFFFF"/>
        <w:spacing w:before="0" w:beforeLines="0" w:after="0" w:afterLines="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（四）学科综合考核小组</w:t>
      </w:r>
    </w:p>
    <w:p w14:paraId="591741E7">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综合考核小组由不少于5名博士生导师（含招生导师）组成，包括外语水平测试、专业基础考核和综合面试，综合面试重点考核申请人思想政治素质和品德、硕士课程学习情况、综合运用所学知识的能力、科研创新能力、对本学科前沿领域及最新研究动态的掌握情况及是否具备博士生培养潜质等。</w:t>
      </w:r>
    </w:p>
    <w:p w14:paraId="79D341BD">
      <w:pPr>
        <w:spacing w:beforeLines="0" w:afterLines="0"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三、招生方式</w:t>
      </w:r>
    </w:p>
    <w:p w14:paraId="7939B63D">
      <w:pPr>
        <w:spacing w:beforeLines="0" w:afterLines="0" w:line="560" w:lineRule="exact"/>
        <w:rPr>
          <w:rFonts w:ascii="黑体" w:hAnsi="黑体" w:eastAsia="黑体"/>
          <w:b/>
          <w:bCs/>
          <w:sz w:val="32"/>
          <w:szCs w:val="32"/>
          <w:lang w:val="zh-CN"/>
        </w:rPr>
      </w:pPr>
      <w:r>
        <w:rPr>
          <w:rFonts w:hint="eastAsia" w:ascii="仿宋GB2312" w:hAnsi="仿宋" w:eastAsia="仿宋GB2312"/>
          <w:sz w:val="32"/>
          <w:szCs w:val="32"/>
          <w:lang w:val="zh-CN"/>
        </w:rPr>
        <w:t xml:space="preserve">    </w:t>
      </w:r>
      <w:r>
        <w:rPr>
          <w:rFonts w:hint="eastAsia" w:ascii="仿宋" w:hAnsi="仿宋" w:eastAsia="仿宋" w:cs="仿宋"/>
          <w:sz w:val="32"/>
          <w:szCs w:val="32"/>
          <w:lang w:val="zh-CN"/>
        </w:rPr>
        <w:t>普通招考、硕博连读</w:t>
      </w:r>
    </w:p>
    <w:p w14:paraId="101D4082">
      <w:pPr>
        <w:spacing w:beforeLines="0" w:afterLines="0"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四、报考条件</w:t>
      </w:r>
    </w:p>
    <w:p w14:paraId="2B712FBB">
      <w:pPr>
        <w:pStyle w:val="2"/>
        <w:keepNext w:val="0"/>
        <w:keepLines w:val="0"/>
        <w:widowControl w:val="0"/>
        <w:shd w:val="clear" w:color="auto" w:fill="FFFFFF"/>
        <w:spacing w:before="0" w:beforeLines="0" w:after="0" w:afterLines="0" w:line="560" w:lineRule="exact"/>
        <w:ind w:firstLine="643" w:firstLineChars="200"/>
        <w:rPr>
          <w:rFonts w:ascii="仿宋GB2312" w:hAnsi="仿宋" w:eastAsia="仿宋GB2312"/>
          <w:bCs w:val="0"/>
          <w:kern w:val="2"/>
          <w:sz w:val="32"/>
          <w:szCs w:val="32"/>
          <w:lang w:val="zh-CN"/>
        </w:rPr>
      </w:pPr>
      <w:r>
        <w:rPr>
          <w:rFonts w:hint="eastAsia" w:ascii="仿宋GB2312" w:hAnsi="仿宋" w:eastAsia="仿宋GB2312"/>
          <w:bCs w:val="0"/>
          <w:kern w:val="2"/>
          <w:sz w:val="32"/>
          <w:szCs w:val="32"/>
          <w:lang w:val="zh-CN"/>
        </w:rPr>
        <w:t>申请者应具备以下条件：</w:t>
      </w:r>
    </w:p>
    <w:p w14:paraId="15746EDD">
      <w:pPr>
        <w:pStyle w:val="2"/>
        <w:keepNext w:val="0"/>
        <w:keepLines w:val="0"/>
        <w:widowControl w:val="0"/>
        <w:shd w:val="clear" w:color="auto" w:fill="FFFFFF"/>
        <w:spacing w:before="0" w:beforeLines="0" w:after="0" w:afterLines="0" w:line="560" w:lineRule="exact"/>
        <w:rPr>
          <w:rFonts w:hint="eastAsia" w:ascii="仿宋" w:hAnsi="仿宋" w:eastAsia="仿宋" w:cs="仿宋"/>
          <w:b w:val="0"/>
          <w:bCs w:val="0"/>
          <w:kern w:val="2"/>
          <w:sz w:val="32"/>
          <w:szCs w:val="32"/>
          <w:lang w:val="zh-CN"/>
        </w:rPr>
      </w:pPr>
      <w:r>
        <w:rPr>
          <w:rFonts w:hint="eastAsia" w:ascii="仿宋GB2312" w:hAnsi="仿宋" w:eastAsia="仿宋GB2312"/>
          <w:b w:val="0"/>
          <w:bCs w:val="0"/>
          <w:kern w:val="2"/>
          <w:sz w:val="32"/>
          <w:szCs w:val="32"/>
          <w:lang w:val="zh-CN"/>
        </w:rPr>
        <w:t xml:space="preserve">   </w:t>
      </w:r>
      <w:r>
        <w:rPr>
          <w:rFonts w:hint="eastAsia" w:ascii="仿宋" w:hAnsi="仿宋" w:eastAsia="仿宋" w:cs="仿宋"/>
          <w:b w:val="0"/>
          <w:bCs w:val="0"/>
          <w:kern w:val="2"/>
          <w:sz w:val="32"/>
          <w:szCs w:val="32"/>
          <w:lang w:val="zh-CN"/>
        </w:rPr>
        <w:t>（一）符合《南昌大学招收攻读博士学位研究生的实施办法》中的申请条件以及我校公布的年度《博士学位研究生招生简章》和《博士学位研究生招生专业目录》中的各项报考条件。</w:t>
      </w:r>
    </w:p>
    <w:p w14:paraId="2E00C3A5">
      <w:pPr>
        <w:pStyle w:val="2"/>
        <w:keepNext w:val="0"/>
        <w:keepLines w:val="0"/>
        <w:widowControl w:val="0"/>
        <w:shd w:val="clear" w:color="auto" w:fill="FFFFFF"/>
        <w:spacing w:before="0" w:beforeLines="0" w:after="0" w:afterLines="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二）普通招考申请者应为全日制应届或往届硕士研究生，且最迟于博士入学前取得硕士研究生毕业证书和学位证书；获得国（境）外高水平大学硕士学位者，须提供教育部留学服务中心的认证报告。硕博连读申请者应为南昌大学全日制、非定向、学术型、二年级在籍优秀硕士研究生。</w:t>
      </w:r>
    </w:p>
    <w:p w14:paraId="61171315">
      <w:pPr>
        <w:pStyle w:val="2"/>
        <w:keepNext w:val="0"/>
        <w:keepLines w:val="0"/>
        <w:widowControl w:val="0"/>
        <w:shd w:val="clear" w:color="auto" w:fill="FFFFFF"/>
        <w:spacing w:before="0" w:beforeLines="0" w:after="0" w:afterLines="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三）申请人的外语水平至少需满足以下条件之一：1.在英语语言国家获得过学士以上学位者；2.全国大学英语六级考试（CTE6）成绩≥425分或全国大学英语四级考试（CET4）成绩≥450分；3.托福（TOEFL）成绩≥80分；4.雅思（IELTS）成绩≥6分；5.参加我校统一组织的英语水平测试且成绩合格。</w:t>
      </w:r>
    </w:p>
    <w:p w14:paraId="5988C141">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以上成绩证书获得时间距当年博士入学时间（9月1日）不超过6年（含6年），若报考时为在读硕士研究生，则成绩证书获得时间不受以上时间限制。</w:t>
      </w:r>
    </w:p>
    <w:p w14:paraId="3BEB3747">
      <w:pPr>
        <w:pStyle w:val="2"/>
        <w:keepNext w:val="0"/>
        <w:keepLines w:val="0"/>
        <w:widowControl w:val="0"/>
        <w:shd w:val="clear" w:color="auto" w:fill="FFFFFF"/>
        <w:spacing w:before="0" w:beforeLines="0" w:after="0" w:afterLines="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（四）硕士学习期间课程成绩优良，掌握了良好的专业基础知识。</w:t>
      </w:r>
    </w:p>
    <w:p w14:paraId="2556FA4E">
      <w:pPr>
        <w:pStyle w:val="2"/>
        <w:keepNext w:val="0"/>
        <w:keepLines w:val="0"/>
        <w:widowControl w:val="0"/>
        <w:shd w:val="clear" w:color="auto" w:fill="FFFFFF"/>
        <w:spacing w:before="0" w:beforeLines="0" w:after="0" w:afterLines="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五）申请人硕士阶段所学专业（或学科）与所报考专业方向相关或相近。包括但不限于以下专业(或学科)：统计学、数学、应用经济学、工商管理学、管理科学与工程、医学、计算机科学与技术、地理学，或金融硕士、应用统计、会计硕士、工商管理硕士、工业工程、国际商务等。</w:t>
      </w:r>
    </w:p>
    <w:p w14:paraId="2A7C76A5">
      <w:pPr>
        <w:spacing w:beforeLines="0" w:afterLines="0"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五、学术条件</w:t>
      </w:r>
    </w:p>
    <w:p w14:paraId="54D1B767">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坚守学术诚信，无学术不端行为记录，有较好的科研能力和科研成果产出，近五年内至少符合以下条件之一：</w:t>
      </w:r>
    </w:p>
    <w:p w14:paraId="019059D0">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1.以第一作者、通讯作者或第二作者（导师为第一作者）在CSSCI或CSCD或SSCI或SCI期刊上发表至少一篇与所学专业相符的学术论文（含录用通知）。</w:t>
      </w:r>
    </w:p>
    <w:p w14:paraId="4FA22AA4">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2.作为主要成员获得省部级以上科研奖励（排名前4）。</w:t>
      </w:r>
    </w:p>
    <w:p w14:paraId="2D9F4CA8">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3.作为主要成员参与国家级科研项目且已取得一定成果（排名前4）。</w:t>
      </w:r>
    </w:p>
    <w:p w14:paraId="3C3D2564">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4.取得其他创新性成果的，经学院研究生招生工作小组认定可作为申请条件。</w:t>
      </w:r>
    </w:p>
    <w:p w14:paraId="6A8C0FA0">
      <w:pPr>
        <w:spacing w:beforeLines="0" w:afterLines="0"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六、资格审核与材料评议</w:t>
      </w:r>
    </w:p>
    <w:p w14:paraId="6E181E8F">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根据申请条件，对申请人提交的申请材料进行形式审查，只有满足招生对象要求以及符合全部报考条件的申请人，才能通过形式审查。若申请材料不全，视为形式审查不通过；若发现材料造假者，或有学术不端行为，将取消其报考资格或录取资格。</w:t>
      </w:r>
    </w:p>
    <w:p w14:paraId="62424925">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材料评议小组对申请人提交的申请材料进行评议。对申请人基本素质、科研潜质和创新能力等进行评价并给出成绩，成绩采用百分制，材料评议成绩≥60分视为合格。评议合格的名单经学院研究生招生工作领导小组同意后，报研究生院审核后在院内公示，公示无异议的申请人进入综合考核环节。</w:t>
      </w:r>
    </w:p>
    <w:p w14:paraId="39074CC4">
      <w:pPr>
        <w:spacing w:beforeLines="0" w:afterLines="0"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七、综合考核与录取</w:t>
      </w:r>
    </w:p>
    <w:p w14:paraId="63B1410A">
      <w:pPr>
        <w:pStyle w:val="2"/>
        <w:keepNext w:val="0"/>
        <w:keepLines w:val="0"/>
        <w:widowControl w:val="0"/>
        <w:shd w:val="clear" w:color="auto" w:fill="FFFFFF"/>
        <w:spacing w:before="0" w:beforeLines="0" w:after="0" w:afterLines="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（一）综合考核</w:t>
      </w:r>
    </w:p>
    <w:p w14:paraId="5F45C04B">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学院综合考核小组对考生进行学科综合考核，小组组长由学院指定。</w:t>
      </w:r>
    </w:p>
    <w:p w14:paraId="26F5B00C">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学科综合考核分为外国语水平测试、专业基础考试、专业综合考核三方面内容。考核方式为笔试与面试结合，各项考核采用百分制。</w:t>
      </w:r>
    </w:p>
    <w:p w14:paraId="480805B7">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1.外国语（英语）水平测试（分值100分）考试形式为面试，对考生的外语应用能力进行测试，主要考核外语写作、文献阅读及口语交流能力。</w:t>
      </w:r>
    </w:p>
    <w:p w14:paraId="5319922A">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2.专业基础考试（分值100分）：考试形式为笔试。主要考核本学科专业基础理论和专业知识，对考生的专业素养、科研能力进行测试。笔试时间为120分钟，专业基础考试科目参考当年博士招生目录中的复试科目。</w:t>
      </w:r>
    </w:p>
    <w:p w14:paraId="2B990BBF">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综合面试（分值100分）：考试形式为面试。重点考核申请人思想政治素质和品德、硕士课程学习情况、综合运用所学知识的能力、科研创新能力、对本学科前沿领域及最新研究动态的掌握情况及是否具备博士生培养潜质等。每位考生的面试时间不少于30 分钟。</w:t>
      </w:r>
    </w:p>
    <w:p w14:paraId="5B1DDFAA">
      <w:pPr>
        <w:pStyle w:val="2"/>
        <w:keepNext w:val="0"/>
        <w:keepLines w:val="0"/>
        <w:widowControl w:val="0"/>
        <w:shd w:val="clear" w:color="auto" w:fill="FFFFFF"/>
        <w:spacing w:before="0" w:beforeLines="0" w:after="0" w:afterLines="0" w:line="560" w:lineRule="exact"/>
        <w:ind w:firstLine="640" w:firstLineChars="200"/>
        <w:rPr>
          <w:rFonts w:ascii="仿宋GB2312" w:hAnsi="仿宋" w:eastAsia="仿宋GB2312"/>
          <w:b/>
          <w:bCs/>
          <w:color w:val="auto"/>
          <w:kern w:val="2"/>
          <w:sz w:val="32"/>
          <w:szCs w:val="32"/>
          <w:highlight w:val="none"/>
          <w:lang w:val="zh-CN"/>
        </w:rPr>
      </w:pPr>
      <w:r>
        <w:rPr>
          <w:rFonts w:hint="eastAsia" w:ascii="仿宋" w:hAnsi="仿宋" w:eastAsia="仿宋" w:cs="仿宋"/>
          <w:b w:val="0"/>
          <w:bCs w:val="0"/>
          <w:kern w:val="2"/>
          <w:sz w:val="32"/>
          <w:szCs w:val="32"/>
          <w:lang w:val="zh-CN"/>
        </w:rPr>
        <w:t>综合考核成绩采用百分制。综合考核成绩=20%*外国语水平测试成绩+30%*专业基础考核成绩+50%*综合面试成绩。</w:t>
      </w:r>
      <w:r>
        <w:rPr>
          <w:rFonts w:hint="eastAsia" w:ascii="仿宋" w:hAnsi="仿宋" w:eastAsia="仿宋" w:cs="仿宋"/>
          <w:b/>
          <w:bCs/>
          <w:color w:val="auto"/>
          <w:kern w:val="2"/>
          <w:sz w:val="32"/>
          <w:szCs w:val="32"/>
          <w:highlight w:val="none"/>
          <w:lang w:val="zh-CN"/>
        </w:rPr>
        <w:t>综合考核成绩以60分为及格线，未达到及格线者，视为考核不合格，不予录取。</w:t>
      </w:r>
    </w:p>
    <w:p w14:paraId="1FB7CA88">
      <w:pPr>
        <w:pStyle w:val="2"/>
        <w:keepNext w:val="0"/>
        <w:keepLines w:val="0"/>
        <w:widowControl w:val="0"/>
        <w:shd w:val="clear" w:color="auto" w:fill="FFFFFF"/>
        <w:spacing w:before="0" w:beforeLines="0" w:after="0" w:afterLines="0" w:line="560" w:lineRule="exact"/>
        <w:rPr>
          <w:rFonts w:ascii="楷体GB2312" w:hAnsi="楷体" w:eastAsia="楷体GB2312"/>
          <w:b/>
          <w:bCs/>
          <w:color w:val="auto"/>
          <w:kern w:val="2"/>
          <w:sz w:val="32"/>
          <w:szCs w:val="32"/>
          <w:highlight w:val="none"/>
          <w:lang w:val="zh-CN"/>
        </w:rPr>
      </w:pPr>
      <w:r>
        <w:rPr>
          <w:rFonts w:hint="eastAsia" w:ascii="楷体GB2312" w:hAnsi="楷体" w:eastAsia="楷体GB2312"/>
          <w:b/>
          <w:bCs/>
          <w:color w:val="auto"/>
          <w:kern w:val="2"/>
          <w:sz w:val="32"/>
          <w:szCs w:val="32"/>
          <w:highlight w:val="none"/>
          <w:lang w:val="zh-CN"/>
        </w:rPr>
        <w:t xml:space="preserve">   （二）录取</w:t>
      </w:r>
    </w:p>
    <w:p w14:paraId="42C96740">
      <w:pPr>
        <w:pStyle w:val="2"/>
        <w:keepNext w:val="0"/>
        <w:keepLines w:val="0"/>
        <w:widowControl w:val="0"/>
        <w:shd w:val="clear" w:color="auto" w:fill="FFFFFF"/>
        <w:spacing w:before="0" w:beforeLines="0" w:after="0" w:afterLines="0" w:line="560" w:lineRule="exact"/>
        <w:ind w:firstLine="643" w:firstLineChars="200"/>
        <w:rPr>
          <w:rFonts w:hint="eastAsia" w:ascii="仿宋" w:hAnsi="仿宋" w:eastAsia="仿宋" w:cs="仿宋"/>
          <w:b/>
          <w:bCs/>
          <w:color w:val="auto"/>
          <w:kern w:val="2"/>
          <w:sz w:val="32"/>
          <w:szCs w:val="32"/>
          <w:highlight w:val="none"/>
          <w:lang w:val="en-US" w:eastAsia="zh-CN"/>
        </w:rPr>
      </w:pPr>
      <w:r>
        <w:rPr>
          <w:rFonts w:hint="eastAsia" w:ascii="仿宋" w:hAnsi="仿宋" w:eastAsia="仿宋" w:cs="仿宋"/>
          <w:b/>
          <w:bCs/>
          <w:color w:val="auto"/>
          <w:kern w:val="2"/>
          <w:sz w:val="32"/>
          <w:szCs w:val="32"/>
          <w:highlight w:val="none"/>
          <w:lang w:val="en-US" w:eastAsia="zh-CN"/>
        </w:rPr>
        <w:t>对于综合考核成绩合格的考生，硕博连读与普通招考的考生合并排序，录取将根据导师招生名额情况，以报考导师为单位，严格按照综合成绩从高到低依次录取。名下没有合格考生的导师，如需招调剂生，则按照同一学科下考生综合成绩进行排名，由高到低依次调剂录取。</w:t>
      </w:r>
    </w:p>
    <w:p w14:paraId="6EFA4D6F">
      <w:pPr>
        <w:pStyle w:val="2"/>
        <w:keepNext w:val="0"/>
        <w:keepLines w:val="0"/>
        <w:widowControl w:val="0"/>
        <w:shd w:val="clear" w:color="auto" w:fill="FFFFFF"/>
        <w:spacing w:before="0" w:beforeLines="0" w:after="0" w:afterLines="0" w:line="560" w:lineRule="exact"/>
        <w:ind w:firstLine="640" w:firstLineChars="200"/>
        <w:rPr>
          <w:rFonts w:ascii="仿宋GB2312" w:hAnsi="仿宋" w:eastAsia="仿宋GB2312"/>
          <w:b w:val="0"/>
          <w:bCs w:val="0"/>
          <w:kern w:val="2"/>
          <w:sz w:val="32"/>
          <w:szCs w:val="32"/>
          <w:lang w:val="zh-CN"/>
        </w:rPr>
      </w:pPr>
      <w:r>
        <w:rPr>
          <w:rFonts w:hint="eastAsia" w:ascii="仿宋" w:hAnsi="仿宋" w:eastAsia="仿宋" w:cs="仿宋"/>
          <w:b w:val="0"/>
          <w:bCs w:val="0"/>
          <w:kern w:val="2"/>
          <w:sz w:val="32"/>
          <w:szCs w:val="32"/>
          <w:lang w:val="zh-CN"/>
        </w:rPr>
        <w:t>学院研究生招生工作领导小组根据申请人综合考核情况和当年度博士生招生计划，提出拟录取名单。拟录取名单报研究生院审核、校研究生招生领导小组审批后公示。</w:t>
      </w:r>
    </w:p>
    <w:p w14:paraId="0B4B896B">
      <w:pPr>
        <w:spacing w:beforeLines="0" w:afterLines="0"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八、其他事项</w:t>
      </w:r>
    </w:p>
    <w:p w14:paraId="24BEF357">
      <w:pPr>
        <w:spacing w:beforeLines="0" w:afterLines="0" w:line="560" w:lineRule="exact"/>
        <w:ind w:firstLine="640" w:firstLineChars="200"/>
        <w:rPr>
          <w:rFonts w:hint="eastAsia" w:ascii="仿宋" w:hAnsi="仿宋" w:eastAsia="仿宋" w:cs="仿宋"/>
          <w:b/>
          <w:bCs/>
          <w:sz w:val="32"/>
          <w:szCs w:val="32"/>
          <w:lang w:val="zh-CN"/>
        </w:rPr>
      </w:pPr>
      <w:r>
        <w:rPr>
          <w:rFonts w:hint="eastAsia" w:ascii="仿宋" w:hAnsi="仿宋" w:eastAsia="仿宋" w:cs="仿宋"/>
          <w:sz w:val="32"/>
          <w:szCs w:val="32"/>
          <w:lang w:val="zh-CN"/>
        </w:rPr>
        <w:t>1.申请者培养方式为全日制非定向就业，不招收定向就业学生。</w:t>
      </w:r>
    </w:p>
    <w:p w14:paraId="0F6181BF">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学院成立招生工作纪律监督小组，全程监察督导研究生招生工作。对在考核、录取过程中出现徇私舞弊、滥用职权的导师和工作人员，一经查实将给予通报批评，并报研究生院取消相关导师的导师资格。在报考和考核过程中出现弄虚作假、违纪的考生，一经查实将永久取消其报考南昌大学博士研究生资格，已被录取者将取消入学资格。</w:t>
      </w:r>
    </w:p>
    <w:p w14:paraId="4409A3BD">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回避制度。凡与申请人有直系亲属关系的博士生导师不能参加研究生招生工作小组、资格审查小组、材料评议小组和综合考核小组。</w:t>
      </w:r>
    </w:p>
    <w:p w14:paraId="38B1D842">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4</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考核过程全程录像、录音、记录并留存备查。面试过程要规范操作，要有现场记录、成绩和评语，保证综合考核的公平、公正和有效性。</w:t>
      </w:r>
    </w:p>
    <w:p w14:paraId="08D74863">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5.博士研究生招生工作接受考生和社会的监督，有异议者可向学院研究生招生工作监督小组或研究生院提出。研究生院招生办电话：0791-83969340；学院监督投诉电话：0791-83969478。</w:t>
      </w:r>
    </w:p>
    <w:p w14:paraId="672751C4">
      <w:pPr>
        <w:pStyle w:val="2"/>
        <w:keepNext w:val="0"/>
        <w:keepLines w:val="0"/>
        <w:widowControl w:val="0"/>
        <w:shd w:val="clear" w:color="auto" w:fill="FFFFFF"/>
        <w:spacing w:before="0" w:beforeLines="0" w:after="0" w:afterLines="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本细则自颁布之日起执行，由经济管理学院负责解释。</w:t>
      </w:r>
    </w:p>
    <w:p w14:paraId="4A2B0B6A">
      <w:pPr>
        <w:spacing w:beforeLines="0" w:afterLines="0" w:line="560" w:lineRule="exact"/>
        <w:ind w:firstLine="5120" w:firstLineChars="1600"/>
        <w:rPr>
          <w:rFonts w:hint="eastAsia" w:ascii="仿宋" w:hAnsi="仿宋" w:eastAsia="仿宋" w:cs="仿宋"/>
          <w:sz w:val="32"/>
          <w:szCs w:val="32"/>
          <w:lang w:val="zh-CN"/>
        </w:rPr>
      </w:pPr>
    </w:p>
    <w:p w14:paraId="5CA03D26">
      <w:pPr>
        <w:pStyle w:val="2"/>
        <w:keepNext w:val="0"/>
        <w:keepLines w:val="0"/>
        <w:widowControl w:val="0"/>
        <w:shd w:val="clear" w:color="auto" w:fill="FFFFFF"/>
        <w:spacing w:before="0" w:beforeLines="0" w:after="0" w:afterLines="0" w:line="560" w:lineRule="exact"/>
        <w:ind w:firstLine="640" w:firstLineChars="200"/>
        <w:jc w:val="righ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南昌大学经济管理学院</w:t>
      </w:r>
    </w:p>
    <w:p w14:paraId="0241A533">
      <w:pPr>
        <w:pStyle w:val="2"/>
        <w:keepNext w:val="0"/>
        <w:keepLines w:val="0"/>
        <w:widowControl w:val="0"/>
        <w:shd w:val="clear" w:color="auto" w:fill="FFFFFF"/>
        <w:spacing w:before="0" w:beforeLines="0" w:after="0" w:afterLines="0" w:line="560" w:lineRule="exact"/>
        <w:ind w:right="320" w:firstLine="640" w:firstLineChars="200"/>
        <w:jc w:val="righ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202</w:t>
      </w:r>
      <w:r>
        <w:rPr>
          <w:rFonts w:hint="eastAsia" w:ascii="仿宋" w:hAnsi="仿宋" w:eastAsia="仿宋" w:cs="仿宋"/>
          <w:b w:val="0"/>
          <w:bCs w:val="0"/>
          <w:kern w:val="2"/>
          <w:sz w:val="32"/>
          <w:szCs w:val="32"/>
          <w:lang w:val="en-US" w:eastAsia="zh-CN"/>
        </w:rPr>
        <w:t>4</w:t>
      </w:r>
      <w:r>
        <w:rPr>
          <w:rFonts w:hint="eastAsia" w:ascii="仿宋" w:hAnsi="仿宋" w:eastAsia="仿宋" w:cs="仿宋"/>
          <w:b w:val="0"/>
          <w:bCs w:val="0"/>
          <w:kern w:val="2"/>
          <w:sz w:val="32"/>
          <w:szCs w:val="32"/>
          <w:lang w:val="zh-CN"/>
        </w:rPr>
        <w:t>年</w:t>
      </w:r>
      <w:r>
        <w:rPr>
          <w:rFonts w:hint="eastAsia" w:ascii="仿宋" w:hAnsi="仿宋" w:eastAsia="仿宋" w:cs="仿宋"/>
          <w:b w:val="0"/>
          <w:bCs w:val="0"/>
          <w:kern w:val="2"/>
          <w:sz w:val="32"/>
          <w:szCs w:val="32"/>
          <w:lang w:val="en-US" w:eastAsia="zh-CN"/>
        </w:rPr>
        <w:t>10</w:t>
      </w:r>
      <w:r>
        <w:rPr>
          <w:rFonts w:hint="eastAsia" w:ascii="仿宋" w:hAnsi="仿宋" w:eastAsia="仿宋" w:cs="仿宋"/>
          <w:b w:val="0"/>
          <w:bCs w:val="0"/>
          <w:kern w:val="2"/>
          <w:sz w:val="32"/>
          <w:szCs w:val="32"/>
          <w:lang w:val="zh-CN"/>
        </w:rPr>
        <w:t>月</w:t>
      </w:r>
      <w:r>
        <w:rPr>
          <w:rFonts w:hint="eastAsia" w:ascii="仿宋" w:hAnsi="仿宋" w:eastAsia="仿宋" w:cs="仿宋"/>
          <w:b w:val="0"/>
          <w:bCs w:val="0"/>
          <w:kern w:val="2"/>
          <w:sz w:val="32"/>
          <w:szCs w:val="32"/>
          <w:lang w:val="en-US" w:eastAsia="zh-CN"/>
        </w:rPr>
        <w:t>29</w:t>
      </w:r>
      <w:r>
        <w:rPr>
          <w:rFonts w:hint="eastAsia" w:ascii="仿宋" w:hAnsi="仿宋" w:eastAsia="仿宋" w:cs="仿宋"/>
          <w:b w:val="0"/>
          <w:bCs w:val="0"/>
          <w:kern w:val="2"/>
          <w:sz w:val="32"/>
          <w:szCs w:val="32"/>
          <w:lang w:val="zh-CN"/>
        </w:rPr>
        <w:t>日</w:t>
      </w:r>
    </w:p>
    <w:p w14:paraId="7DDE92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GB2312">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Y2MxNDliM2EyZWZmNDZhMTRhMjNiYjU1NDk1YzYifQ=="/>
  </w:docVars>
  <w:rsids>
    <w:rsidRoot w:val="00000000"/>
    <w:rsid w:val="021F0C28"/>
    <w:rsid w:val="0AA14004"/>
    <w:rsid w:val="6EBB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2691</Words>
  <Characters>2800</Characters>
  <Lines>0</Lines>
  <Paragraphs>0</Paragraphs>
  <TotalTime>0</TotalTime>
  <ScaleCrop>false</ScaleCrop>
  <LinksUpToDate>false</LinksUpToDate>
  <CharactersWithSpaces>2851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2024-11-18T08:48:00Z</dcterms:created>
  <dc:creator>Administrator</dc:creator>
  <cp:lastModifiedBy>水晶</cp:lastModifiedBy>
  <dcterms:modified xsi:type="dcterms:W3CDTF">2024-11-18T09:21:22Z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C6F7979FC64544BD9C63C69C442E19E6_13</vt:lpwstr>
  </property>
</Properties>
</file>