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p>
    <w:p>
      <w:pPr>
        <w:spacing w:line="560" w:lineRule="exact"/>
        <w:jc w:val="left"/>
        <w:rPr>
          <w:rFonts w:ascii="宋体"/>
          <w:b/>
          <w:snapToGrid w:val="0"/>
          <w:color w:val="000000"/>
          <w:kern w:val="0"/>
          <w:sz w:val="24"/>
        </w:rPr>
      </w:pPr>
      <w:r>
        <w:rPr>
          <w:rFonts w:hint="eastAsia" w:ascii="宋体"/>
          <w:b/>
          <w:snapToGrid w:val="0"/>
          <w:color w:val="000000"/>
          <w:kern w:val="0"/>
          <w:sz w:val="24"/>
        </w:rPr>
        <w:t>附件</w:t>
      </w:r>
    </w:p>
    <w:p>
      <w:pPr>
        <w:spacing w:line="560" w:lineRule="exact"/>
        <w:jc w:val="center"/>
        <w:rPr>
          <w:rFonts w:ascii="宋体"/>
          <w:b/>
          <w:snapToGrid w:val="0"/>
          <w:color w:val="000000"/>
          <w:kern w:val="0"/>
          <w:sz w:val="44"/>
          <w:szCs w:val="44"/>
        </w:rPr>
      </w:pPr>
    </w:p>
    <w:p>
      <w:pPr>
        <w:spacing w:line="560" w:lineRule="exact"/>
        <w:jc w:val="center"/>
        <w:rPr>
          <w:rFonts w:asciiTheme="majorEastAsia" w:hAnsiTheme="majorEastAsia" w:eastAsiaTheme="majorEastAsia"/>
          <w:b/>
          <w:snapToGrid w:val="0"/>
          <w:color w:val="000000"/>
          <w:kern w:val="0"/>
          <w:sz w:val="44"/>
          <w:szCs w:val="44"/>
        </w:rPr>
      </w:pPr>
      <w:r>
        <w:rPr>
          <w:rFonts w:hint="eastAsia" w:asciiTheme="majorEastAsia" w:hAnsiTheme="majorEastAsia" w:eastAsiaTheme="majorEastAsia"/>
          <w:b/>
          <w:snapToGrid w:val="0"/>
          <w:color w:val="000000"/>
          <w:kern w:val="0"/>
          <w:sz w:val="44"/>
          <w:szCs w:val="44"/>
        </w:rPr>
        <w:t>南昌大学经济管理学院统计学学位授权点2024年招收“申请-考核”制博士研究生实施细则</w:t>
      </w:r>
    </w:p>
    <w:p>
      <w:pPr>
        <w:spacing w:line="560" w:lineRule="exact"/>
        <w:jc w:val="center"/>
        <w:rPr>
          <w:sz w:val="52"/>
          <w:szCs w:val="52"/>
        </w:rPr>
      </w:pP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sz w:val="32"/>
          <w:szCs w:val="32"/>
          <w:lang w:val="zh-CN"/>
        </w:rPr>
      </w:pPr>
      <w:r>
        <w:rPr>
          <w:rFonts w:hint="eastAsia" w:ascii="仿宋" w:hAnsi="仿宋" w:eastAsia="仿宋" w:cs="仿宋"/>
          <w:b w:val="0"/>
          <w:bCs w:val="0"/>
          <w:kern w:val="2"/>
          <w:sz w:val="32"/>
          <w:szCs w:val="32"/>
          <w:lang w:val="zh-CN"/>
        </w:rPr>
        <w:t>为深入贯彻落实全国教育大会和全国研究生教育会议精神，培养高层次专门人才，根据《南昌大学博士研究生招生“申请-考核”制实施办法（2023年修订）》相关文件要求，进一步健全和完善高水平创新型人才培养模式，坚持立德树人，扩大导师招生自主权，结合我院实际，特制定本细则。</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一、工作原则</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坚持公平、公正、科学、有效的原则，学院将充分发挥专家组和导师在招生过程中的作用，采取多样化的考查方式全面考查。突出对考生科研创新能力和专业学术潜质的考察，选拔综合素质优秀、创新能力突出的博士研究生。</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二、组织机构</w:t>
      </w:r>
    </w:p>
    <w:p>
      <w:pPr>
        <w:pStyle w:val="2"/>
        <w:keepNext w:val="0"/>
        <w:keepLines w:val="0"/>
        <w:widowControl/>
        <w:shd w:val="clear" w:color="auto" w:fill="FFFFFF"/>
        <w:spacing w:before="0" w:after="0" w:line="560" w:lineRule="exact"/>
        <w:ind w:firstLine="643" w:firstLineChars="200"/>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(一）招生工作领导小组</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选拔工作在招生工作领导小组统一领导下进行，由学院研究生办公室负责组织实施。选拔工作领导小组根据学校要求，负责制定学院选拔“申请-考核”制博士研究生实施细则，包括制定申请条件、申请材料审核办法、申请程序等。</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（二）监督小组</w:t>
      </w:r>
    </w:p>
    <w:p>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GB2312" w:hAnsi="仿宋" w:eastAsia="仿宋GB2312"/>
          <w:b w:val="0"/>
          <w:bCs w:val="0"/>
          <w:kern w:val="2"/>
          <w:sz w:val="32"/>
          <w:szCs w:val="32"/>
          <w:lang w:val="zh-CN"/>
        </w:rPr>
        <w:t xml:space="preserve">   </w:t>
      </w:r>
      <w:r>
        <w:rPr>
          <w:rFonts w:hint="eastAsia" w:ascii="仿宋" w:hAnsi="仿宋" w:eastAsia="仿宋" w:cs="仿宋"/>
          <w:b w:val="0"/>
          <w:bCs w:val="0"/>
          <w:kern w:val="2"/>
          <w:sz w:val="32"/>
          <w:szCs w:val="32"/>
          <w:lang w:val="zh-CN"/>
        </w:rPr>
        <w:t xml:space="preserve"> 负责招生过程各环节的监督检查，受理考生的举报事宜。</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（三）申请材料评议小组</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申请材料评议小组由3名以上博士生导师组成，负责对考生提交的申请材料进行评议。</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（四）学科综合考核小组</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综合考核小组由不少于5名博士生导师（含招生导师）组成，包括外语水平测试、专业基础考核和综合面试，综合面试重点考核申请人思想政治素质和品德、硕士课程学习情况、综合运用所学知识的能力、科研创新能力、对本学科前沿领域及最新研究动态的掌握情况及是否具备博士生培养潜质等。</w:t>
      </w:r>
    </w:p>
    <w:p>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三、招生方式</w:t>
      </w:r>
    </w:p>
    <w:p>
      <w:pPr>
        <w:spacing w:line="560" w:lineRule="exact"/>
        <w:rPr>
          <w:rFonts w:ascii="黑体" w:hAnsi="黑体" w:eastAsia="黑体"/>
          <w:b/>
          <w:bCs/>
          <w:sz w:val="32"/>
          <w:szCs w:val="32"/>
          <w:lang w:val="zh-CN"/>
        </w:rPr>
      </w:pPr>
      <w:r>
        <w:rPr>
          <w:rFonts w:hint="eastAsia" w:ascii="仿宋GB2312" w:hAnsi="仿宋" w:eastAsia="仿宋GB2312"/>
          <w:sz w:val="32"/>
          <w:szCs w:val="32"/>
          <w:lang w:val="zh-CN"/>
        </w:rPr>
        <w:t xml:space="preserve">    </w:t>
      </w:r>
      <w:r>
        <w:rPr>
          <w:rFonts w:hint="eastAsia" w:ascii="仿宋" w:hAnsi="仿宋" w:eastAsia="仿宋" w:cs="仿宋"/>
          <w:sz w:val="32"/>
          <w:szCs w:val="32"/>
          <w:lang w:val="zh-CN"/>
        </w:rPr>
        <w:t>普通招考、硕博连读</w:t>
      </w:r>
    </w:p>
    <w:p>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四、报考条件</w:t>
      </w:r>
    </w:p>
    <w:p>
      <w:pPr>
        <w:pStyle w:val="2"/>
        <w:keepNext w:val="0"/>
        <w:keepLines w:val="0"/>
        <w:widowControl/>
        <w:shd w:val="clear" w:color="auto" w:fill="FFFFFF"/>
        <w:spacing w:before="0" w:after="0" w:line="560" w:lineRule="exact"/>
        <w:ind w:firstLine="643" w:firstLineChars="200"/>
        <w:rPr>
          <w:rFonts w:ascii="仿宋GB2312" w:hAnsi="仿宋" w:eastAsia="仿宋GB2312"/>
          <w:bCs w:val="0"/>
          <w:kern w:val="2"/>
          <w:sz w:val="32"/>
          <w:szCs w:val="32"/>
          <w:lang w:val="zh-CN"/>
        </w:rPr>
      </w:pPr>
      <w:r>
        <w:rPr>
          <w:rFonts w:hint="eastAsia" w:ascii="仿宋GB2312" w:hAnsi="仿宋" w:eastAsia="仿宋GB2312"/>
          <w:bCs w:val="0"/>
          <w:kern w:val="2"/>
          <w:sz w:val="32"/>
          <w:szCs w:val="32"/>
          <w:lang w:val="zh-CN"/>
        </w:rPr>
        <w:t>申请者应具备以下条件：</w:t>
      </w:r>
    </w:p>
    <w:p>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GB2312" w:hAnsi="仿宋" w:eastAsia="仿宋GB2312"/>
          <w:b w:val="0"/>
          <w:bCs w:val="0"/>
          <w:kern w:val="2"/>
          <w:sz w:val="32"/>
          <w:szCs w:val="32"/>
          <w:lang w:val="zh-CN"/>
        </w:rPr>
        <w:t xml:space="preserve">   </w:t>
      </w:r>
      <w:r>
        <w:rPr>
          <w:rFonts w:hint="eastAsia" w:ascii="仿宋" w:hAnsi="仿宋" w:eastAsia="仿宋" w:cs="仿宋"/>
          <w:b w:val="0"/>
          <w:bCs w:val="0"/>
          <w:kern w:val="2"/>
          <w:sz w:val="32"/>
          <w:szCs w:val="32"/>
          <w:lang w:val="zh-CN"/>
        </w:rPr>
        <w:t>（一）符合《南昌大学招收攻读博士学位研究生的实施办法》中的申请条件以及我校公布的年度《博士学位研究生招生简章》和《博士学位研究生招生专业目录》中的各项报考条件。</w:t>
      </w:r>
    </w:p>
    <w:p>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二）普通招考申请者应为全日制应届或往届硕士研究生，且最迟于博士入学前取得硕士研究生毕业证书和学位证书；获得国（境）外高水平大学硕士学位者，须提供教育部留学服务中心的认证报告。硕博连读申请者应为南昌大学全日制、非定向、学术型、二年级在籍优秀硕士研究生。</w:t>
      </w:r>
    </w:p>
    <w:p>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三）申请人的外语水平至少需满足以下条件之一：1.在英语语言国家获得过学士以上学位者；2.全国大学英语六级考试（CTE6）成绩≥425分或全国大学英语四级考试（CET4）成绩≥450分；3.托福（TOEFL）成绩≥80分；4.雅思（IELTS）成绩≥6分；5.参加我校统一组织的英语水平测试且成绩合格。</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以上成绩证书获得时间距当年博士入学时间（9月1日）不超过6年（含6年），若报考时为在读硕士研究生，则成绩证书获得时间不受以上时间限制。</w:t>
      </w:r>
    </w:p>
    <w:p>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（四） 硕士学习期间课程成绩优良，掌握了良好的专业基础知识。</w:t>
      </w:r>
    </w:p>
    <w:p>
      <w:pPr>
        <w:pStyle w:val="2"/>
        <w:keepNext w:val="0"/>
        <w:keepLines w:val="0"/>
        <w:widowControl/>
        <w:shd w:val="clear" w:color="auto" w:fill="FFFFFF"/>
        <w:spacing w:before="0" w:after="0" w:line="560" w:lineRule="exac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 xml:space="preserve">   （五）申请人硕士阶段所学专业（或学科）与所报考专业方向相关或相近。包括但不限于以下专业(或学科)：理论经济学、应用经济学、工商管理、管理科学与工程、统计学、数学、食品、地理学、系统工程、信息科学，或金融硕士、应用统计、会计硕士、工商管理硕士、工业工程、国际商务等。</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五、学术条件</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坚守学术诚信，无学术不端行为记录，有较好的科研能力和科研成果产出，近五年内至少符合以下条件之一：</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1.以第一作者、通讯作者或第二作者（导师为第一作者）在CSSCI或CSCD或SSCI或SCI期刊上发表至少一篇与所学专业相符的学术论文（含录用通知）。</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2.作为主要成员获得省部级以上科研奖励（排名前4）。</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3.作为主要成员参与国家级科研项目且已取得一定成果（排名前4）。</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4.取得其他创新性成果的，经学院研究生招生工作小组认定可作为申请条件。</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六、资格审核与材料评议</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根据申请条件，对申请人提交的申请材料进行形式审查，只有满足招生对象要求以及符合全部报考条件的申请人，才能通过形式审查。若申请材料不全，视为形式审查不通过；若发现材料造假者，或有学术不端行为，将取消其报考资格或录取资格。</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材料评议小组对申请人提交的申请材料进行评议。对申请人基本素质、科研潜质和创新能力等进行评价并给出成绩，成绩采用百分制，材料评议成绩≥60分视为合格。评议合格的名单经学院研究生招生工作领导小组同意后，报研究生院审核后在院内公示，公示无异议的申请人进入综合考核环节。</w:t>
      </w:r>
    </w:p>
    <w:p>
      <w:pPr>
        <w:spacing w:line="560" w:lineRule="exact"/>
        <w:rPr>
          <w:rFonts w:ascii="黑体" w:hAnsi="黑体" w:eastAsia="黑体"/>
          <w:b/>
          <w:bCs/>
          <w:sz w:val="32"/>
          <w:szCs w:val="32"/>
          <w:lang w:val="zh-CN"/>
        </w:rPr>
      </w:pPr>
      <w:r>
        <w:rPr>
          <w:rFonts w:hint="eastAsia" w:ascii="黑体" w:hAnsi="黑体" w:eastAsia="黑体"/>
          <w:b/>
          <w:bCs/>
          <w:sz w:val="32"/>
          <w:szCs w:val="32"/>
          <w:lang w:val="zh-CN"/>
        </w:rPr>
        <w:t xml:space="preserve">    七、综合考核与录取</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（一）综合考核</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学院综合考核小组对考生进行学科综合考核，小组组长由学院指定。</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学科综合考核分为外国语水平测试、专业基础考试、专业综合考核三方面内容。考核方式为笔试与面试结合，各项考核采用百分制。</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1.外国语（英语）水平测试（分值100分）考试形式为面试，对考生的外语应用能力进行测试，主要考核外语写作、文献阅读及口语交流能力。</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2.专业基础考试（分值100分）：考试形式为笔试。主要考核本学科专业基础理论和专业知识，对考生的专业素养、科研能力进行测试。笔试时间为120分钟，专业基础考试科目参考当年博士招生目录中的复试科目。</w:t>
      </w:r>
    </w:p>
    <w:p>
      <w:pPr>
        <w:pStyle w:val="2"/>
        <w:keepNext w:val="0"/>
        <w:keepLines w:val="0"/>
        <w:widowControl/>
        <w:shd w:val="clear" w:color="auto" w:fill="FFFFFF"/>
        <w:spacing w:before="0" w:after="0" w:line="560" w:lineRule="exac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综合面试（分值100分）：考试形式为面试。重点考核申请人思想政治素质和品德、硕士课程学习情况、综合运用所学知识的能力、科研创新能力、对本学科前沿领域及最新研究动态的掌握情况及是否具备博士生培养潜质等。每位考生的面试时间不少于30 分钟。</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综合考核成绩采用百分制。综合考核成绩=20%*外国语水平测试成绩+30%*专业基础考核成绩+50%*综合面试成绩</w:t>
      </w:r>
      <w:r>
        <w:rPr>
          <w:rFonts w:hint="eastAsia" w:ascii="仿宋GB2312" w:hAnsi="仿宋" w:eastAsia="仿宋GB2312"/>
          <w:b w:val="0"/>
          <w:bCs w:val="0"/>
          <w:kern w:val="2"/>
          <w:sz w:val="32"/>
          <w:szCs w:val="32"/>
          <w:lang w:val="zh-CN"/>
        </w:rPr>
        <w:t>。</w:t>
      </w:r>
    </w:p>
    <w:p>
      <w:pPr>
        <w:pStyle w:val="2"/>
        <w:keepNext w:val="0"/>
        <w:keepLines w:val="0"/>
        <w:widowControl/>
        <w:shd w:val="clear" w:color="auto" w:fill="FFFFFF"/>
        <w:spacing w:before="0" w:after="0" w:line="560" w:lineRule="exact"/>
        <w:rPr>
          <w:rFonts w:ascii="楷体GB2312" w:hAnsi="楷体" w:eastAsia="楷体GB2312"/>
          <w:bCs w:val="0"/>
          <w:kern w:val="2"/>
          <w:sz w:val="32"/>
          <w:szCs w:val="32"/>
          <w:lang w:val="zh-CN"/>
        </w:rPr>
      </w:pPr>
      <w:r>
        <w:rPr>
          <w:rFonts w:hint="eastAsia" w:ascii="楷体GB2312" w:hAnsi="楷体" w:eastAsia="楷体GB2312"/>
          <w:bCs w:val="0"/>
          <w:kern w:val="2"/>
          <w:sz w:val="32"/>
          <w:szCs w:val="32"/>
          <w:lang w:val="zh-CN"/>
        </w:rPr>
        <w:t xml:space="preserve">   （二）录取</w:t>
      </w:r>
    </w:p>
    <w:p>
      <w:pPr>
        <w:pStyle w:val="2"/>
        <w:keepNext w:val="0"/>
        <w:keepLines w:val="0"/>
        <w:widowControl/>
        <w:shd w:val="clear" w:color="auto" w:fill="FFFFFF"/>
        <w:spacing w:before="0" w:after="0" w:line="560" w:lineRule="exact"/>
        <w:ind w:firstLine="640" w:firstLineChars="200"/>
        <w:rPr>
          <w:rFonts w:ascii="仿宋GB2312" w:hAnsi="仿宋" w:eastAsia="仿宋GB2312"/>
          <w:b w:val="0"/>
          <w:bCs w:val="0"/>
          <w:kern w:val="2"/>
          <w:sz w:val="32"/>
          <w:szCs w:val="32"/>
          <w:lang w:val="zh-CN"/>
        </w:rPr>
      </w:pPr>
      <w:r>
        <w:rPr>
          <w:rFonts w:hint="eastAsia" w:ascii="仿宋" w:hAnsi="仿宋" w:eastAsia="仿宋" w:cs="仿宋"/>
          <w:b w:val="0"/>
          <w:bCs w:val="0"/>
          <w:kern w:val="2"/>
          <w:sz w:val="32"/>
          <w:szCs w:val="32"/>
          <w:lang w:val="zh-CN"/>
        </w:rPr>
        <w:t>学院按照报考导师和申请人的综合考核成绩排序，择优录取。学院研究生招生工作领导小组根据申请人综合考核情况和当年度博士生招生计划，提出拟录取名单。拟录取名单报研究生院审核、校研究生招生领导小组审批后公示，公示期为10个工作日。</w:t>
      </w:r>
    </w:p>
    <w:p>
      <w:pPr>
        <w:spacing w:line="560" w:lineRule="exact"/>
        <w:ind w:firstLine="643" w:firstLineChars="200"/>
        <w:rPr>
          <w:rFonts w:ascii="黑体" w:hAnsi="黑体" w:eastAsia="黑体"/>
          <w:b/>
          <w:bCs/>
          <w:sz w:val="32"/>
          <w:szCs w:val="32"/>
          <w:lang w:val="zh-CN"/>
        </w:rPr>
      </w:pPr>
      <w:r>
        <w:rPr>
          <w:rFonts w:hint="eastAsia" w:ascii="黑体" w:hAnsi="黑体" w:eastAsia="黑体"/>
          <w:b/>
          <w:bCs/>
          <w:sz w:val="32"/>
          <w:szCs w:val="32"/>
          <w:lang w:val="zh-CN"/>
        </w:rPr>
        <w:t>八、其他事项</w:t>
      </w:r>
    </w:p>
    <w:p>
      <w:pPr>
        <w:spacing w:line="560" w:lineRule="exact"/>
        <w:ind w:firstLine="640" w:firstLineChars="200"/>
        <w:rPr>
          <w:rFonts w:hint="eastAsia" w:ascii="仿宋" w:hAnsi="仿宋" w:eastAsia="仿宋" w:cs="仿宋"/>
          <w:b/>
          <w:bCs/>
          <w:sz w:val="32"/>
          <w:szCs w:val="32"/>
          <w:lang w:val="zh-CN"/>
        </w:rPr>
      </w:pPr>
      <w:bookmarkStart w:id="0" w:name="_GoBack"/>
      <w:r>
        <w:rPr>
          <w:rFonts w:hint="eastAsia" w:ascii="仿宋" w:hAnsi="仿宋" w:eastAsia="仿宋" w:cs="仿宋"/>
          <w:sz w:val="32"/>
          <w:szCs w:val="32"/>
          <w:lang w:val="zh-CN"/>
        </w:rPr>
        <w:t>1.申请者培养方式为全日制非定向就业，不招收定向就业学生。</w:t>
      </w:r>
    </w:p>
    <w:p>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学院成立招生工作纪律监督小组，全程监察督导研究生招生工作。对在考核、录取过程中出现徇私舞弊、滥用职权的导师和工作人员，一经查实将给予通报批评，并报研究生院取消相关导师的导师资格。在报考和考核过程中出现弄虚作假、违纪的考生，一经查实将永久取消其报考南昌大学博士研究生资格，已被录取者将取消入学资格。</w:t>
      </w:r>
    </w:p>
    <w:p>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3</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回避制度。凡与申请人有直系亲属关系的博士生导师不能参加研究生招生工作小组、资格审查小组、材料评议小组和综合考核小组。</w:t>
      </w:r>
    </w:p>
    <w:p>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4</w:t>
      </w:r>
      <w:r>
        <w:rPr>
          <w:rFonts w:hint="eastAsia" w:ascii="仿宋" w:hAnsi="仿宋" w:eastAsia="仿宋" w:cs="仿宋"/>
          <w:sz w:val="32"/>
          <w:szCs w:val="32"/>
          <w:lang w:val="zh-CN"/>
        </w:rPr>
        <w:t>.</w:t>
      </w:r>
      <w:r>
        <w:rPr>
          <w:rFonts w:hint="eastAsia" w:ascii="仿宋" w:hAnsi="仿宋" w:eastAsia="仿宋" w:cs="仿宋"/>
          <w:b w:val="0"/>
          <w:bCs w:val="0"/>
          <w:kern w:val="2"/>
          <w:sz w:val="32"/>
          <w:szCs w:val="32"/>
          <w:lang w:val="zh-CN"/>
        </w:rPr>
        <w:t>考核过程全程录像、录音、记录并留存备查。面试过程要规范操作，要有现场记录、成绩和评语，保证综合考核的公平、公正和有效性。</w:t>
      </w:r>
    </w:p>
    <w:p>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5.博士研究生招生工作接受考生和社会的监督，有异议者可向学院研究生招生工作监督小组或研究生院提出。研究生院招生办电话：0791-83969340；学院监督投诉电话：0791-83969478。</w:t>
      </w:r>
    </w:p>
    <w:p>
      <w:pPr>
        <w:pStyle w:val="2"/>
        <w:keepNext w:val="0"/>
        <w:keepLines w:val="0"/>
        <w:widowControl/>
        <w:shd w:val="clear" w:color="auto" w:fill="FFFFFF"/>
        <w:spacing w:before="0" w:after="0" w:line="480" w:lineRule="atLeast"/>
        <w:ind w:firstLine="640" w:firstLineChars="200"/>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本细则自颁布之日起执行，由经济管理学院负责解释。</w:t>
      </w:r>
    </w:p>
    <w:p>
      <w:pPr>
        <w:spacing w:line="560" w:lineRule="exact"/>
        <w:ind w:firstLine="5120" w:firstLineChars="1600"/>
        <w:rPr>
          <w:rFonts w:hint="eastAsia" w:ascii="仿宋" w:hAnsi="仿宋" w:eastAsia="仿宋" w:cs="仿宋"/>
          <w:sz w:val="32"/>
          <w:szCs w:val="32"/>
          <w:lang w:val="zh-CN"/>
        </w:rPr>
      </w:pPr>
    </w:p>
    <w:p>
      <w:pPr>
        <w:pStyle w:val="2"/>
        <w:keepNext w:val="0"/>
        <w:keepLines w:val="0"/>
        <w:widowControl/>
        <w:shd w:val="clear" w:color="auto" w:fill="FFFFFF"/>
        <w:spacing w:before="0" w:after="0" w:line="560" w:lineRule="exact"/>
        <w:ind w:firstLine="640" w:firstLineChars="200"/>
        <w:jc w:val="righ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南昌大学经济管理学院</w:t>
      </w:r>
    </w:p>
    <w:p>
      <w:pPr>
        <w:pStyle w:val="2"/>
        <w:keepNext w:val="0"/>
        <w:keepLines w:val="0"/>
        <w:widowControl/>
        <w:shd w:val="clear" w:color="auto" w:fill="FFFFFF"/>
        <w:spacing w:before="0" w:after="0" w:line="560" w:lineRule="exact"/>
        <w:ind w:right="320" w:firstLine="640" w:firstLineChars="200"/>
        <w:jc w:val="right"/>
        <w:rPr>
          <w:rFonts w:hint="eastAsia" w:ascii="仿宋" w:hAnsi="仿宋" w:eastAsia="仿宋" w:cs="仿宋"/>
          <w:b w:val="0"/>
          <w:bCs w:val="0"/>
          <w:kern w:val="2"/>
          <w:sz w:val="32"/>
          <w:szCs w:val="32"/>
          <w:lang w:val="zh-CN"/>
        </w:rPr>
      </w:pPr>
      <w:r>
        <w:rPr>
          <w:rFonts w:hint="eastAsia" w:ascii="仿宋" w:hAnsi="仿宋" w:eastAsia="仿宋" w:cs="仿宋"/>
          <w:b w:val="0"/>
          <w:bCs w:val="0"/>
          <w:kern w:val="2"/>
          <w:sz w:val="32"/>
          <w:szCs w:val="32"/>
          <w:lang w:val="zh-CN"/>
        </w:rPr>
        <w:t>2023年12月8日</w:t>
      </w:r>
    </w:p>
    <w:bookmarkEnd w:id="0"/>
    <w:p>
      <w:pPr>
        <w:spacing w:line="560" w:lineRule="exact"/>
      </w:pPr>
    </w:p>
    <w:p>
      <w:pPr>
        <w:rPr>
          <w:rFonts w:ascii="黑体" w:hAnsi="黑体" w:eastAsia="黑体" w:cs="黑体"/>
          <w:sz w:val="32"/>
          <w:szCs w:val="32"/>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D03C6A-38E1-4393-9496-4773207C2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GB2312">
    <w:altName w:val="宋体"/>
    <w:panose1 w:val="00000000000000000000"/>
    <w:charset w:val="86"/>
    <w:family w:val="roman"/>
    <w:pitch w:val="default"/>
    <w:sig w:usb0="00000000" w:usb1="00000000" w:usb2="00000000" w:usb3="00000000" w:csb0="00000000" w:csb1="00000000"/>
    <w:embedRegular r:id="rId2" w:fontKey="{6E3F9D82-2153-4117-8D99-B66AA46168AA}"/>
  </w:font>
  <w:font w:name="仿宋">
    <w:panose1 w:val="02010609060101010101"/>
    <w:charset w:val="86"/>
    <w:family w:val="modern"/>
    <w:pitch w:val="default"/>
    <w:sig w:usb0="800002BF" w:usb1="38CF7CFA" w:usb2="00000016" w:usb3="00000000" w:csb0="00040001" w:csb1="00000000"/>
    <w:embedRegular r:id="rId3" w:fontKey="{98FDAB62-9B59-4244-9B84-CA8DFB3D7A0F}"/>
  </w:font>
  <w:font w:name="楷体GB2312">
    <w:altName w:val="宋体"/>
    <w:panose1 w:val="00000000000000000000"/>
    <w:charset w:val="86"/>
    <w:family w:val="roman"/>
    <w:pitch w:val="default"/>
    <w:sig w:usb0="00000000" w:usb1="00000000" w:usb2="00000000" w:usb3="00000000" w:csb0="00000000" w:csb1="00000000"/>
    <w:embedRegular r:id="rId4" w:fontKey="{28CCFCE3-6BDE-4381-929B-DE9F1CCF9B31}"/>
  </w:font>
  <w:font w:name="楷体">
    <w:panose1 w:val="02010609060101010101"/>
    <w:charset w:val="86"/>
    <w:family w:val="modern"/>
    <w:pitch w:val="default"/>
    <w:sig w:usb0="800002BF" w:usb1="38CF7CFA" w:usb2="00000016" w:usb3="00000000" w:csb0="00040001" w:csb1="00000000"/>
    <w:embedRegular r:id="rId5" w:fontKey="{6435E959-A54A-4A0B-9845-7C38AC03468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ODZhNmI4YTVjZjhlNDkwNWU5NTJlYzE1ZGNjYzQifQ=="/>
  </w:docVars>
  <w:rsids>
    <w:rsidRoot w:val="65B61C26"/>
    <w:rsid w:val="00012555"/>
    <w:rsid w:val="000C64CE"/>
    <w:rsid w:val="000F7F10"/>
    <w:rsid w:val="001B0C0B"/>
    <w:rsid w:val="001B5E58"/>
    <w:rsid w:val="00221DD4"/>
    <w:rsid w:val="0022460A"/>
    <w:rsid w:val="00307035"/>
    <w:rsid w:val="00330F14"/>
    <w:rsid w:val="00341A53"/>
    <w:rsid w:val="00344761"/>
    <w:rsid w:val="003624D1"/>
    <w:rsid w:val="004058D4"/>
    <w:rsid w:val="00455AF7"/>
    <w:rsid w:val="00481457"/>
    <w:rsid w:val="004C7459"/>
    <w:rsid w:val="005024EB"/>
    <w:rsid w:val="00553341"/>
    <w:rsid w:val="00585403"/>
    <w:rsid w:val="00597C11"/>
    <w:rsid w:val="005B798B"/>
    <w:rsid w:val="005C17D2"/>
    <w:rsid w:val="005D769E"/>
    <w:rsid w:val="00623CF6"/>
    <w:rsid w:val="0062763A"/>
    <w:rsid w:val="006A05E2"/>
    <w:rsid w:val="00733DAF"/>
    <w:rsid w:val="007469ED"/>
    <w:rsid w:val="00887177"/>
    <w:rsid w:val="008A70DB"/>
    <w:rsid w:val="00966EFC"/>
    <w:rsid w:val="00A50111"/>
    <w:rsid w:val="00AF28A2"/>
    <w:rsid w:val="00AF2E2D"/>
    <w:rsid w:val="00BA0E13"/>
    <w:rsid w:val="00BB66CD"/>
    <w:rsid w:val="00BE77A7"/>
    <w:rsid w:val="00BF4D45"/>
    <w:rsid w:val="00BF720B"/>
    <w:rsid w:val="00C901D3"/>
    <w:rsid w:val="00C91CC2"/>
    <w:rsid w:val="00CD3136"/>
    <w:rsid w:val="00D42AB2"/>
    <w:rsid w:val="00D453CC"/>
    <w:rsid w:val="00D4557F"/>
    <w:rsid w:val="00D52B50"/>
    <w:rsid w:val="00E66CD2"/>
    <w:rsid w:val="00E94636"/>
    <w:rsid w:val="00E95799"/>
    <w:rsid w:val="00ED7F3D"/>
    <w:rsid w:val="08927128"/>
    <w:rsid w:val="0C0D59F0"/>
    <w:rsid w:val="13652265"/>
    <w:rsid w:val="141B3373"/>
    <w:rsid w:val="186F4AA4"/>
    <w:rsid w:val="1BD511FF"/>
    <w:rsid w:val="1F29007A"/>
    <w:rsid w:val="22D31A08"/>
    <w:rsid w:val="258E6E89"/>
    <w:rsid w:val="28397580"/>
    <w:rsid w:val="2D74709C"/>
    <w:rsid w:val="2E643D59"/>
    <w:rsid w:val="325F4087"/>
    <w:rsid w:val="346A53D1"/>
    <w:rsid w:val="3BD258C9"/>
    <w:rsid w:val="65B61C26"/>
    <w:rsid w:val="69A27362"/>
    <w:rsid w:val="6C6E263B"/>
    <w:rsid w:val="6F450EF4"/>
    <w:rsid w:val="7866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2"/>
    <w:autoRedefine/>
    <w:qFormat/>
    <w:uiPriority w:val="0"/>
    <w:pPr>
      <w:keepNext/>
      <w:keepLines/>
      <w:spacing w:before="340" w:after="330" w:line="578" w:lineRule="auto"/>
      <w:outlineLvl w:val="0"/>
    </w:pPr>
    <w:rPr>
      <w:rFonts w:ascii="Calibri" w:hAnsi="Calibri" w:eastAsia="宋体" w:cs="Times New Roman"/>
      <w:b/>
      <w:bCs/>
      <w:kern w:val="44"/>
      <w:sz w:val="44"/>
      <w:szCs w:val="20"/>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3"/>
    <w:autoRedefine/>
    <w:qFormat/>
    <w:uiPriority w:val="0"/>
    <w:pPr>
      <w:ind w:left="100" w:leftChars="2500"/>
    </w:pPr>
  </w:style>
  <w:style w:type="paragraph" w:styleId="4">
    <w:name w:val="footer"/>
    <w:basedOn w:val="1"/>
    <w:link w:val="15"/>
    <w:autoRedefine/>
    <w:qFormat/>
    <w:uiPriority w:val="0"/>
    <w:pPr>
      <w:tabs>
        <w:tab w:val="center" w:pos="4153"/>
        <w:tab w:val="right" w:pos="8306"/>
      </w:tabs>
      <w:snapToGrid w:val="0"/>
      <w:jc w:val="left"/>
    </w:pPr>
    <w:rPr>
      <w:sz w:val="18"/>
      <w:szCs w:val="18"/>
    </w:rPr>
  </w:style>
  <w:style w:type="paragraph" w:styleId="5">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autoRedefine/>
    <w:qFormat/>
    <w:uiPriority w:val="22"/>
    <w:rPr>
      <w:b/>
      <w:bCs/>
    </w:rPr>
  </w:style>
  <w:style w:type="character" w:styleId="11">
    <w:name w:val="Hyperlink"/>
    <w:basedOn w:val="9"/>
    <w:autoRedefine/>
    <w:qFormat/>
    <w:uiPriority w:val="0"/>
    <w:rPr>
      <w:color w:val="0000FF"/>
      <w:u w:val="single"/>
    </w:rPr>
  </w:style>
  <w:style w:type="character" w:customStyle="1" w:styleId="12">
    <w:name w:val="标题 1 Char"/>
    <w:basedOn w:val="9"/>
    <w:link w:val="2"/>
    <w:autoRedefine/>
    <w:qFormat/>
    <w:uiPriority w:val="0"/>
    <w:rPr>
      <w:rFonts w:ascii="Calibri" w:hAnsi="Calibri" w:eastAsia="宋体" w:cs="Times New Roman"/>
      <w:b/>
      <w:bCs/>
      <w:kern w:val="44"/>
      <w:sz w:val="44"/>
    </w:rPr>
  </w:style>
  <w:style w:type="character" w:customStyle="1" w:styleId="13">
    <w:name w:val="日期 Char"/>
    <w:basedOn w:val="9"/>
    <w:link w:val="3"/>
    <w:autoRedefine/>
    <w:qFormat/>
    <w:uiPriority w:val="0"/>
    <w:rPr>
      <w:kern w:val="2"/>
      <w:sz w:val="21"/>
      <w:szCs w:val="24"/>
    </w:rPr>
  </w:style>
  <w:style w:type="character" w:customStyle="1" w:styleId="14">
    <w:name w:val="页眉 Char"/>
    <w:basedOn w:val="9"/>
    <w:link w:val="5"/>
    <w:autoRedefine/>
    <w:qFormat/>
    <w:uiPriority w:val="0"/>
    <w:rPr>
      <w:kern w:val="2"/>
      <w:sz w:val="18"/>
      <w:szCs w:val="18"/>
    </w:rPr>
  </w:style>
  <w:style w:type="character" w:customStyle="1" w:styleId="15">
    <w:name w:val="页脚 Char"/>
    <w:basedOn w:val="9"/>
    <w:link w:val="4"/>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4254</Words>
  <Characters>4465</Characters>
  <Lines>32</Lines>
  <Paragraphs>9</Paragraphs>
  <TotalTime>55</TotalTime>
  <ScaleCrop>false</ScaleCrop>
  <LinksUpToDate>false</LinksUpToDate>
  <CharactersWithSpaces>4619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2023-12-12T01:31:00Z</dcterms:created>
  <dc:creator>彭琛</dc:creator>
  <cp:lastModifiedBy>sy</cp:lastModifiedBy>
  <cp:lastPrinted>2023-12-11T03:39:00Z</cp:lastPrinted>
  <dcterms:modified xsi:type="dcterms:W3CDTF">2024-05-16T08:50:37Z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135B59842D534FAAB63666118CAC2BE8_13</vt:lpwstr>
  </property>
</Properties>
</file>